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26845D1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671VZ20-0-0035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940CF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Mapování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a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vyhotovení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UŽM TU 2241,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žst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.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Milotice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proofErr w:type="gram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nad</w:t>
      </w:r>
      <w:proofErr w:type="spellEnd"/>
      <w:proofErr w:type="gram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Opavou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(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mimo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) –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žst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.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Vrbno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pod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Praděděm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(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včetně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), km 0,177 – 20,641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proofErr w:type="gramStart"/>
      <w:r w:rsidRPr="00EF50B7">
        <w:rPr>
          <w:rFonts w:eastAsia="Times New Roman" w:cs="Times New Roman"/>
          <w:lang w:eastAsia="cs-CZ"/>
        </w:rPr>
        <w:t>ev</w:t>
      </w:r>
      <w:proofErr w:type="gramEnd"/>
      <w:r w:rsidRPr="00EF50B7">
        <w:rPr>
          <w:rFonts w:eastAsia="Times New Roman" w:cs="Times New Roman"/>
          <w:lang w:eastAsia="cs-CZ"/>
        </w:rPr>
        <w:t xml:space="preserve">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67120007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B32536">
        <w:rPr>
          <w:rFonts w:eastAsia="Times New Roman" w:cs="Times New Roman"/>
          <w:lang w:val="en-US" w:eastAsia="cs-CZ"/>
        </w:rPr>
        <w:t>169/2020-SŽDC-SŽGOLC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EE93C28" w:rsidR="004E1498" w:rsidRDefault="004E1498" w:rsidP="009651C8">
      <w:pPr>
        <w:pStyle w:val="Nadpis2"/>
        <w:rPr>
          <w:i/>
        </w:rPr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</w:p>
    <w:p w14:paraId="14B59563" w14:textId="09787DA8" w:rsidR="00AC66F9" w:rsidRPr="00AC66F9" w:rsidRDefault="00AC66F9" w:rsidP="00AC66F9">
      <w:pPr>
        <w:pStyle w:val="Odstavecseseznamem"/>
        <w:numPr>
          <w:ilvl w:val="0"/>
          <w:numId w:val="29"/>
        </w:numPr>
        <w:rPr>
          <w:i/>
          <w:lang w:eastAsia="cs-CZ"/>
        </w:rPr>
      </w:pPr>
      <w:r w:rsidRPr="00AC66F9">
        <w:rPr>
          <w:i/>
          <w:lang w:eastAsia="cs-CZ"/>
        </w:rPr>
        <w:t>Podrobné mapování a vyhotovení účelové železniční mapy v TÚ 2241 - v km 0,177 – 20,641. V místech souběhu tratí s TÚ 2191 (přibližně 0,177 – 1,1 lze pouze aktualizovat a doplnit stávající ÚŽM TÚ 2191</w:t>
      </w:r>
    </w:p>
    <w:p w14:paraId="0C818C33" w14:textId="42960E53" w:rsidR="00AC66F9" w:rsidRPr="00AC66F9" w:rsidRDefault="00AC66F9" w:rsidP="00AC66F9">
      <w:pPr>
        <w:pStyle w:val="Odstavecseseznamem"/>
        <w:numPr>
          <w:ilvl w:val="0"/>
          <w:numId w:val="29"/>
        </w:numPr>
        <w:rPr>
          <w:i/>
          <w:lang w:eastAsia="cs-CZ"/>
        </w:rPr>
      </w:pPr>
      <w:r w:rsidRPr="00AC66F9">
        <w:rPr>
          <w:rFonts w:eastAsia="Times New Roman" w:cs="Arial"/>
          <w:i/>
          <w:color w:val="000000"/>
        </w:rPr>
        <w:t>Vyhotovení jednotného výkresu ÚŽM dle aktuálně platného datového modelu z veškerých poskytnutých podkladů (UŽM 2191, 3D osy kolejí) a odevzdání kompletní dokumentace</w:t>
      </w:r>
    </w:p>
    <w:p w14:paraId="31E5226B" w14:textId="360FDAB4" w:rsidR="004E1498" w:rsidRPr="00746F8B" w:rsidRDefault="009651C8" w:rsidP="009651C8">
      <w:pPr>
        <w:pStyle w:val="Nadpis2"/>
      </w:pPr>
      <w:r w:rsidRPr="00746F8B">
        <w:lastRenderedPageBreak/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Místo a doba plnění</w:t>
      </w:r>
    </w:p>
    <w:p w14:paraId="4DCCF507" w14:textId="24B27FD4" w:rsidR="004E1498" w:rsidRPr="004549CE" w:rsidRDefault="004E1498" w:rsidP="00592757">
      <w:pPr>
        <w:pStyle w:val="Nadpis2"/>
        <w:jc w:val="left"/>
      </w:pPr>
      <w:r w:rsidRPr="004549CE">
        <w:t>Místem plnění je</w:t>
      </w:r>
      <w:r w:rsidR="009651C8" w:rsidRPr="004549CE">
        <w:t xml:space="preserve"> obvod SŽG Olomouc</w:t>
      </w:r>
    </w:p>
    <w:p w14:paraId="729B30FB" w14:textId="77777777" w:rsidR="009651C8" w:rsidRPr="004549CE" w:rsidRDefault="009651C8" w:rsidP="009651C8">
      <w:pPr>
        <w:pStyle w:val="Nadpis2"/>
      </w:pPr>
      <w:r w:rsidRPr="004549CE">
        <w:t xml:space="preserve">Zhotovitel je povinen </w:t>
      </w:r>
    </w:p>
    <w:p w14:paraId="1B47043E" w14:textId="77777777" w:rsidR="00D165C7" w:rsidRPr="004549CE" w:rsidRDefault="00D165C7" w:rsidP="00D165C7">
      <w:pPr>
        <w:pStyle w:val="Odstavecseseznamem"/>
        <w:numPr>
          <w:ilvl w:val="0"/>
          <w:numId w:val="27"/>
        </w:numPr>
        <w:spacing w:after="0" w:line="240" w:lineRule="auto"/>
        <w:ind w:left="1134"/>
        <w:jc w:val="both"/>
        <w:rPr>
          <w:rFonts w:cs="Arial"/>
        </w:rPr>
      </w:pPr>
      <w:r w:rsidRPr="004549CE">
        <w:rPr>
          <w:rFonts w:cs="Arial"/>
        </w:rPr>
        <w:t xml:space="preserve">zaslat objednateli záznam měření prvního kilometru v digitální formě pro kontrolu použité technologie měření a zpracování </w:t>
      </w:r>
      <w:r w:rsidRPr="004549CE">
        <w:rPr>
          <w:rFonts w:cs="Arial"/>
          <w:b/>
        </w:rPr>
        <w:t xml:space="preserve">do sedmi dnů od zaměření </w:t>
      </w:r>
      <w:r w:rsidRPr="004549CE">
        <w:rPr>
          <w:rFonts w:cs="Arial"/>
        </w:rPr>
        <w:t>+ kalibrační protokoly použitých měřidel.</w:t>
      </w:r>
    </w:p>
    <w:p w14:paraId="14E6AACA" w14:textId="77777777" w:rsidR="00D165C7" w:rsidRPr="004549CE" w:rsidRDefault="00D165C7" w:rsidP="00D165C7">
      <w:pPr>
        <w:pStyle w:val="Odstavecseseznamem"/>
        <w:numPr>
          <w:ilvl w:val="0"/>
          <w:numId w:val="27"/>
        </w:numPr>
        <w:spacing w:after="0" w:line="240" w:lineRule="auto"/>
        <w:ind w:left="1134"/>
        <w:jc w:val="both"/>
        <w:rPr>
          <w:rFonts w:cs="Arial"/>
        </w:rPr>
      </w:pPr>
      <w:r w:rsidRPr="004549CE">
        <w:rPr>
          <w:rFonts w:cs="Arial"/>
        </w:rPr>
        <w:t xml:space="preserve">ukončit práce v terénu a odevzdat objednateli kompletní dokumentaci v digitální formě ke kontrole do </w:t>
      </w:r>
      <w:proofErr w:type="gramStart"/>
      <w:r w:rsidRPr="004549CE">
        <w:rPr>
          <w:rFonts w:cs="Arial"/>
          <w:b/>
        </w:rPr>
        <w:t>30.10.2020</w:t>
      </w:r>
      <w:proofErr w:type="gramEnd"/>
      <w:r w:rsidRPr="004549CE">
        <w:rPr>
          <w:rFonts w:cs="Arial"/>
        </w:rPr>
        <w:t>.</w:t>
      </w:r>
    </w:p>
    <w:p w14:paraId="757582CE" w14:textId="7032D18F" w:rsidR="004E1498" w:rsidRPr="00D165C7" w:rsidRDefault="00D165C7" w:rsidP="00D165C7">
      <w:pPr>
        <w:pStyle w:val="Odstavecseseznamem"/>
        <w:numPr>
          <w:ilvl w:val="0"/>
          <w:numId w:val="27"/>
        </w:numPr>
        <w:spacing w:after="0" w:line="240" w:lineRule="auto"/>
        <w:ind w:left="1134"/>
        <w:jc w:val="both"/>
        <w:rPr>
          <w:rFonts w:cs="Arial"/>
        </w:rPr>
      </w:pPr>
      <w:r w:rsidRPr="004549CE">
        <w:rPr>
          <w:rFonts w:cs="Arial"/>
        </w:rPr>
        <w:t>Termín plnění</w:t>
      </w:r>
      <w:r w:rsidRPr="00D165C7">
        <w:rPr>
          <w:rFonts w:cs="Arial"/>
        </w:rPr>
        <w:t xml:space="preserve"> díla je do </w:t>
      </w:r>
      <w:proofErr w:type="gramStart"/>
      <w:r w:rsidRPr="00D165C7">
        <w:rPr>
          <w:rFonts w:cs="Arial"/>
          <w:b/>
        </w:rPr>
        <w:t>30.11.2020</w:t>
      </w:r>
      <w:proofErr w:type="gramEnd"/>
      <w:r w:rsidR="0086114C" w:rsidRPr="00D165C7"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71A8C91C" w:rsidR="009651C8" w:rsidRPr="00746F8B" w:rsidRDefault="00D168FA" w:rsidP="00D168FA">
      <w:pPr>
        <w:pStyle w:val="Nadpis3"/>
      </w:pPr>
      <w:bookmarkStart w:id="0" w:name="_GoBack"/>
      <w:r w:rsidRPr="00D168FA">
        <w:t xml:space="preserve">za Objednatele p. Marcel </w:t>
      </w:r>
      <w:proofErr w:type="spellStart"/>
      <w:r w:rsidRPr="00D168FA">
        <w:t>Jarosz</w:t>
      </w:r>
      <w:proofErr w:type="spellEnd"/>
      <w:r w:rsidRPr="00D168FA">
        <w:t>, tel.: 972 765 676, e-mail: Jarosz@szdc.cz</w:t>
      </w:r>
      <w:bookmarkEnd w:id="0"/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nepovažují za obchodní tajemství ve smyslu ustanovení § 504 Občanského zákoníku </w:t>
      </w:r>
      <w:r w:rsidRPr="00D9782E">
        <w:rPr>
          <w:rFonts w:eastAsia="Calibri"/>
        </w:rPr>
        <w:lastRenderedPageBreak/>
        <w:t>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lastRenderedPageBreak/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23A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23A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23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23A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1379"/>
    <w:multiLevelType w:val="hybridMultilevel"/>
    <w:tmpl w:val="BD12E7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5C4F7C9A"/>
    <w:multiLevelType w:val="hybridMultilevel"/>
    <w:tmpl w:val="CB9801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E783BAC"/>
    <w:multiLevelType w:val="hybridMultilevel"/>
    <w:tmpl w:val="88442B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4070991"/>
    <w:multiLevelType w:val="multilevel"/>
    <w:tmpl w:val="CABE99FC"/>
    <w:numStyleLink w:val="ListNumbermultilevel"/>
  </w:abstractNum>
  <w:abstractNum w:abstractNumId="23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22"/>
  </w:num>
  <w:num w:numId="5">
    <w:abstractNumId w:val="9"/>
  </w:num>
  <w:num w:numId="6">
    <w:abstractNumId w:val="1"/>
  </w:num>
  <w:num w:numId="7">
    <w:abstractNumId w:val="11"/>
  </w:num>
  <w:num w:numId="8">
    <w:abstractNumId w:val="23"/>
  </w:num>
  <w:num w:numId="9">
    <w:abstractNumId w:val="12"/>
  </w:num>
  <w:num w:numId="10">
    <w:abstractNumId w:val="7"/>
  </w:num>
  <w:num w:numId="11">
    <w:abstractNumId w:val="3"/>
  </w:num>
  <w:num w:numId="12">
    <w:abstractNumId w:val="18"/>
  </w:num>
  <w:num w:numId="13">
    <w:abstractNumId w:val="21"/>
  </w:num>
  <w:num w:numId="14">
    <w:abstractNumId w:val="5"/>
  </w:num>
  <w:num w:numId="15">
    <w:abstractNumId w:val="24"/>
  </w:num>
  <w:num w:numId="16">
    <w:abstractNumId w:val="13"/>
  </w:num>
  <w:num w:numId="17">
    <w:abstractNumId w:val="8"/>
  </w:num>
  <w:num w:numId="18">
    <w:abstractNumId w:val="10"/>
  </w:num>
  <w:num w:numId="19">
    <w:abstractNumId w:val="15"/>
  </w:num>
  <w:num w:numId="20">
    <w:abstractNumId w:val="14"/>
  </w:num>
  <w:num w:numId="21">
    <w:abstractNumId w:val="8"/>
  </w:num>
  <w:num w:numId="22">
    <w:abstractNumId w:val="20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16"/>
  </w:num>
  <w:num w:numId="28">
    <w:abstractNumId w:val="0"/>
  </w:num>
  <w:num w:numId="29">
    <w:abstractNumId w:val="19"/>
  </w:num>
  <w:num w:numId="30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81F3D"/>
    <w:rsid w:val="0029605F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49CE"/>
    <w:rsid w:val="00460660"/>
    <w:rsid w:val="00461D32"/>
    <w:rsid w:val="0047161E"/>
    <w:rsid w:val="0047677B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526D6"/>
    <w:rsid w:val="006566F7"/>
    <w:rsid w:val="00660AD3"/>
    <w:rsid w:val="00677B7F"/>
    <w:rsid w:val="00683A77"/>
    <w:rsid w:val="00685219"/>
    <w:rsid w:val="006A5570"/>
    <w:rsid w:val="006A689C"/>
    <w:rsid w:val="006B23A5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F8B"/>
    <w:rsid w:val="007510DD"/>
    <w:rsid w:val="00753EBA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1128"/>
    <w:rsid w:val="008B6021"/>
    <w:rsid w:val="008D03B9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C66F9"/>
    <w:rsid w:val="00AD056F"/>
    <w:rsid w:val="00AD627B"/>
    <w:rsid w:val="00AD6731"/>
    <w:rsid w:val="00AF11FA"/>
    <w:rsid w:val="00AF50F5"/>
    <w:rsid w:val="00B15D0D"/>
    <w:rsid w:val="00B17679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C0BD0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CF7D79"/>
    <w:rsid w:val="00D165C7"/>
    <w:rsid w:val="00D168FA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1A96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99E534-391E-4C2B-BB11-AF1E27E5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1391</Words>
  <Characters>8211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29</cp:revision>
  <cp:lastPrinted>2020-01-29T09:50:00Z</cp:lastPrinted>
  <dcterms:created xsi:type="dcterms:W3CDTF">2020-01-23T08:12:00Z</dcterms:created>
  <dcterms:modified xsi:type="dcterms:W3CDTF">2020-01-29T11:03:00Z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